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" w:cs="仿宋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" w:cs="仿宋"/>
          <w:kern w:val="0"/>
          <w:sz w:val="40"/>
          <w:szCs w:val="40"/>
          <w:lang w:val="en-US" w:eastAsia="zh-CN"/>
        </w:rPr>
        <w:t>附件一：     资产管理系统查询方法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cs="仿宋"/>
          <w:kern w:val="0"/>
          <w:sz w:val="28"/>
          <w:szCs w:val="28"/>
          <w:lang w:val="en-US" w:eastAsia="zh-CN"/>
        </w:rPr>
        <w:t>第一步：用户登入新乡医学院三全学院固定资产管理系统，网站：</w:t>
      </w:r>
      <w:r>
        <w:rPr>
          <w:rFonts w:hint="eastAsia" w:ascii="仿宋_GB2312" w:hAnsi="仿宋" w:cs="仿宋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" w:cs="仿宋"/>
          <w:kern w:val="0"/>
          <w:sz w:val="28"/>
          <w:szCs w:val="28"/>
          <w:lang w:val="en-US" w:eastAsia="zh-CN"/>
        </w:rPr>
        <w:instrText xml:space="preserve"> HYPERLINK "http://10.10.10.41/pt/" </w:instrText>
      </w:r>
      <w:r>
        <w:rPr>
          <w:rFonts w:hint="eastAsia" w:ascii="仿宋_GB2312" w:hAnsi="仿宋" w:cs="仿宋"/>
          <w:kern w:val="0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="仿宋_GB2312" w:hAnsi="仿宋" w:cs="仿宋"/>
          <w:kern w:val="0"/>
          <w:sz w:val="28"/>
          <w:szCs w:val="28"/>
          <w:lang w:val="en-US" w:eastAsia="zh-CN"/>
        </w:rPr>
        <w:t>http://10.10.10.41/pt/</w:t>
      </w:r>
      <w:r>
        <w:rPr>
          <w:rFonts w:hint="eastAsia" w:ascii="仿宋_GB2312" w:hAnsi="仿宋" w:cs="仿宋"/>
          <w:kern w:val="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"C:\\Users\\Administrator\\AppData\\Roaming\\Tencent\\Users\\1072032815\\QQ\\WinTemp\\RichOle\\5E1ID%QTGZ21ABN{O{U]][S.png"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85790" cy="3086735"/>
            <wp:effectExtent l="0" t="0" r="10160" b="1841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308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cs="仿宋"/>
          <w:kern w:val="0"/>
          <w:sz w:val="28"/>
          <w:szCs w:val="28"/>
          <w:lang w:val="en-US" w:eastAsia="zh-CN"/>
        </w:rPr>
        <w:t>第二步：点击查询—资产查询—资产信息查询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"C:\\Users\\Administrator\\AppData\\Roaming\\Tencent\\Users\\1072032815\\QQ\\WinTemp\\RichOle\\}MGPS23V_4LXU$IWK@Y8Z%9.png"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57875" cy="3467100"/>
            <wp:effectExtent l="0" t="0" r="9525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" w:cs="仿宋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eastAsia" w:ascii="仿宋_GB2312" w:hAnsi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cs="仿宋"/>
          <w:kern w:val="0"/>
          <w:sz w:val="28"/>
          <w:szCs w:val="28"/>
          <w:lang w:val="en-US" w:eastAsia="zh-CN"/>
        </w:rPr>
        <w:t>第三步：入账日期改为2018-01-01至2018-11-26，资产资产状态选择归口审核通过与财务审核通过前面打对号，点击确定。</w:t>
      </w:r>
    </w:p>
    <w:p>
      <w:pPr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5271770" cy="3172460"/>
            <wp:effectExtent l="0" t="0" r="5080" b="889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第四步：点击资产使用单位，即可看到本单位2018年新增资产状况。点击导出excel,即可获得本部门2018年度新增资产明细表，可打印出来进行资产一一核实。</w:t>
      </w:r>
    </w:p>
    <w:p>
      <w:pPr>
        <w:numPr>
          <w:ilvl w:val="0"/>
          <w:numId w:val="0"/>
        </w:numPr>
        <w:ind w:leftChars="200"/>
        <w:jc w:val="both"/>
      </w:pPr>
      <w:r>
        <w:drawing>
          <wp:inline distT="0" distB="0" distL="114300" distR="114300">
            <wp:extent cx="5270500" cy="3317240"/>
            <wp:effectExtent l="0" t="0" r="6350" b="1651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73FFD"/>
    <w:rsid w:val="6D535020"/>
    <w:rsid w:val="742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2018-11-26T08:54:00Z</dcterms:created>
  <dc:creator>相信</dc:creator>
  <cp:lastModifiedBy>相信</cp:lastModifiedBy>
  <dcterms:modified xsi:type="dcterms:W3CDTF">2018-11-26T08:56:20Z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